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7F63DF">
              <w:rPr>
                <w:rFonts w:ascii="Times New Roman" w:hAnsi="Times New Roman" w:cs="Times New Roman"/>
                <w:b/>
                <w:bCs/>
              </w:rPr>
              <w:t xml:space="preserve"> Michael Silveira Thebaldi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MSWord,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pdf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>, log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>como objeto do MSWord,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inseridas como fórmulas usando a função “Equação” do MSWord?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7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check list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8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09" w:rsidRDefault="00411709" w:rsidP="001B7003">
      <w:pPr>
        <w:spacing w:after="0" w:line="240" w:lineRule="auto"/>
      </w:pPr>
      <w:r>
        <w:separator/>
      </w:r>
    </w:p>
  </w:endnote>
  <w:endnote w:type="continuationSeparator" w:id="0">
    <w:p w:rsidR="00411709" w:rsidRDefault="00411709" w:rsidP="001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09" w:rsidRDefault="00411709" w:rsidP="001B7003">
      <w:pPr>
        <w:spacing w:after="0" w:line="240" w:lineRule="auto"/>
      </w:pPr>
      <w:r>
        <w:separator/>
      </w:r>
    </w:p>
  </w:footnote>
  <w:footnote w:type="continuationSeparator" w:id="0">
    <w:p w:rsidR="00411709" w:rsidRDefault="00411709" w:rsidP="001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B7003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34099"/>
    <w:rsid w:val="003652FE"/>
    <w:rsid w:val="00367A04"/>
    <w:rsid w:val="0038557C"/>
    <w:rsid w:val="003B283D"/>
    <w:rsid w:val="003C35CF"/>
    <w:rsid w:val="003E7797"/>
    <w:rsid w:val="003F7240"/>
    <w:rsid w:val="00411709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7F63DF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7003"/>
  </w:style>
  <w:style w:type="paragraph" w:styleId="Rodap">
    <w:name w:val="footer"/>
    <w:basedOn w:val="Normal"/>
    <w:link w:val="RodapChar"/>
    <w:uiPriority w:val="99"/>
    <w:unhideWhenUsed/>
    <w:rsid w:val="001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.agu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cielo.br/revistas/ambiagua/iinstruc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2015-12-12T16:40:00Z</dcterms:created>
  <dcterms:modified xsi:type="dcterms:W3CDTF">2015-12-12T16:40:00Z</dcterms:modified>
</cp:coreProperties>
</file>